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"/>
        <w:gridCol w:w="2589"/>
        <w:gridCol w:w="4669"/>
        <w:gridCol w:w="540"/>
        <w:gridCol w:w="2300"/>
      </w:tblGrid>
      <w:tr>
        <w:trPr/>
        <w:tc>
          <w:tcPr>
            <w:tcW w:w="10348" w:type="dxa"/>
            <w:gridSpan w:val="5"/>
            <w:tcBorders/>
          </w:tcPr>
          <w:p>
            <w:pPr>
              <w:pStyle w:val="Heading3"/>
              <w:spacing w:before="0" w:after="0"/>
              <w:jc w:val="center"/>
              <w:rPr/>
            </w:pPr>
            <w:r>
              <w:rPr/>
              <w:drawing>
                <wp:inline distT="0" distB="0" distL="0" distR="0">
                  <wp:extent cx="619760" cy="81978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81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348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>
            <w:pPr>
              <w:pStyle w:val="Heading1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>Ардатовского муниципального округа</w:t>
            </w:r>
          </w:p>
          <w:p>
            <w:pPr>
              <w:pStyle w:val="Heading1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>Нижегородской области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348" w:type="dxa"/>
            <w:gridSpan w:val="5"/>
            <w:tcBorders/>
          </w:tcPr>
          <w:p>
            <w:pPr>
              <w:pStyle w:val="Header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  <w:t>ПОСТАНОВЛЕНИЕ</w:t>
            </w:r>
          </w:p>
          <w:p>
            <w:pPr>
              <w:pStyle w:val="Header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sz w:val="56"/>
              </w:rPr>
            </w:pPr>
            <w:r>
              <w:rPr>
                <w:b/>
                <w:sz w:val="56"/>
              </w:rPr>
            </w:r>
          </w:p>
        </w:tc>
      </w:tr>
      <w:tr>
        <w:trPr>
          <w:trHeight w:val="319" w:hRule="atLeast"/>
        </w:trPr>
        <w:tc>
          <w:tcPr>
            <w:tcW w:w="250" w:type="dxa"/>
            <w:tcBorders/>
          </w:tcPr>
          <w:p>
            <w:pPr>
              <w:pStyle w:val="Normal"/>
              <w:rPr>
                <w:b/>
                <w:sz w:val="32"/>
              </w:rPr>
            </w:pPr>
            <w:r>
              <w:rPr>
                <w:b/>
                <w:sz w:val="32"/>
              </w:rPr>
            </w:r>
          </w:p>
        </w:tc>
        <w:tc>
          <w:tcPr>
            <w:tcW w:w="2589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11 </w:t>
            </w:r>
            <w:r>
              <w:rPr>
                <w:sz w:val="28"/>
              </w:rPr>
              <w:t xml:space="preserve">марта </w:t>
            </w:r>
            <w:r>
              <w:rPr>
                <w:sz w:val="28"/>
              </w:rPr>
              <w:t xml:space="preserve">2026 </w:t>
            </w:r>
            <w:r>
              <w:rPr>
                <w:sz w:val="28"/>
              </w:rPr>
              <w:t>года</w:t>
            </w:r>
          </w:p>
        </w:tc>
        <w:tc>
          <w:tcPr>
            <w:tcW w:w="4669" w:type="dxa"/>
            <w:tcBorders/>
          </w:tcPr>
          <w:p>
            <w:pPr>
              <w:pStyle w:val="Heading2"/>
              <w:rPr>
                <w:rFonts w:ascii="Bookman Old Style" w:hAnsi="Bookman Old Style"/>
                <w:b w:val="false"/>
              </w:rPr>
            </w:pPr>
            <w:r>
              <w:rPr>
                <w:rFonts w:ascii="Bookman Old Style" w:hAnsi="Bookman Old Style"/>
                <w:b w:val="false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sz w:val="28"/>
              </w:rPr>
              <w:t>269</w:t>
            </w:r>
          </w:p>
        </w:tc>
      </w:tr>
    </w:tbl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Ардатовского муниципального округа Нижегородской области от 23 августа 2023 года № 999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25 декабря  2008 года № 273-ФЗ «О противодействии коррупции», Указом Президента РФ от 21.09.2009 года № 1065 «</w:t>
      </w:r>
      <w:r>
        <w:rPr>
          <w:sz w:val="28"/>
          <w:shd w:fill="FFFFFF" w:val="clear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sz w:val="28"/>
        </w:rPr>
        <w:t xml:space="preserve">, Указом Губернатора Нижегородской области от 22 апреля 2010 года № 14 «О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требований к служебному поведению» администрация Ардатовского муниципального округа Нижегородской области </w:t>
      </w:r>
      <w:r>
        <w:rPr>
          <w:b/>
          <w:sz w:val="28"/>
        </w:rPr>
        <w:t>п о с т а н о в л я е т: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1. Внести в Приложение 1 «О подразделении администрации Ардатовского муниципального округа Нижегородской области по профилактике коррупционных правонарушений», утвержденное постановлением администрации Ардатовского муниципального округа Нижегородской области от 23 августа 2023 года № 999 «Об утверждении Положения о подразделении администрации Ардатовского муниципального округа Нижегородской области по профилактике коррупционных правонарушений» (в редакции  изменений, внесенных 18 июня 2025 года № 802) ( далее - Приложение 1) следующие изменения: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1.1. Подпункт «и» пункта 3.1. Приложения 1 изложить в следующей реакции:</w:t>
      </w:r>
    </w:p>
    <w:p>
      <w:pPr>
        <w:pStyle w:val="BodyTextIndent"/>
        <w:spacing w:before="0" w:after="0"/>
        <w:ind w:firstLine="425" w:left="0"/>
        <w:jc w:val="both"/>
        <w:rPr>
          <w:sz w:val="28"/>
          <w:szCs w:val="28"/>
        </w:rPr>
      </w:pPr>
      <w:r>
        <w:rPr>
          <w:sz w:val="28"/>
          <w:szCs w:val="28"/>
        </w:rPr>
        <w:t>«и) анализ сведений:</w:t>
      </w:r>
    </w:p>
    <w:p>
      <w:pPr>
        <w:pStyle w:val="BodyTextIndent"/>
        <w:spacing w:before="0" w:after="0"/>
        <w:ind w:firstLine="425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администрации Ардатовского муниципального округа Нижегородской области;</w:t>
      </w:r>
    </w:p>
    <w:p>
      <w:pPr>
        <w:pStyle w:val="Normal"/>
        <w:jc w:val="both"/>
        <w:rPr>
          <w:sz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>
        <w:rPr>
          <w:sz w:val="28"/>
        </w:rPr>
        <w:t>о</w:t>
      </w:r>
      <w:r>
        <w:rPr>
          <w:rFonts w:cs="Times New Roman"/>
          <w:sz w:val="28"/>
          <w:szCs w:val="28"/>
        </w:rPr>
        <w:t xml:space="preserve"> доходах,  об имуществе и обязательствах имущественного характера муниципальных служащих, включенные в перечень с коррупционными рисками, установленные нормативными правовыми актами, а также сведений о доходах, об имуществе и обязательствах имущественного характера их супруг (супругов) и несовершеннолетних детей при поступлении на службу;</w:t>
      </w:r>
    </w:p>
    <w:p>
      <w:pPr>
        <w:pStyle w:val="Normal"/>
        <w:ind w:firstLine="708"/>
        <w:jc w:val="both"/>
        <w:rPr>
          <w:sz w:val="28"/>
        </w:rPr>
      </w:pPr>
      <w:r>
        <w:rPr>
          <w:rFonts w:cs="Times New Roman"/>
          <w:sz w:val="28"/>
          <w:szCs w:val="28"/>
        </w:rPr>
        <w:t>- о доходах, об имуществе и обязательства имущественного характера лиц, претендующих на замещение должностей муниципальной службы, включенные в перечень, с коррупционными рисками, установленные нормативными правовыми актами, а также сведений о доходах, об имуществе и обязательствах  имущественного характера их супруг (супругов) и несовершеннолетних детей;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- о доходах, расходах, об имуществе и обязательствах имущественного характера, представленных муниципальными служащими администрации Ардатовского муниципального округа Нижегородской области в соответствии с законодательством Российской Федерации;</w:t>
      </w:r>
    </w:p>
    <w:p>
      <w:pPr>
        <w:pStyle w:val="BodyTextIndent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- о соблюдении муниципальными служащими администрации Ардатовского муниципального округа Нижегородской области запретов, ограничений и требований, установленных в целях противодействия коррупции;</w:t>
      </w:r>
    </w:p>
    <w:p>
      <w:pPr>
        <w:pStyle w:val="BodyTextIndent"/>
        <w:spacing w:before="0" w:after="0"/>
        <w:ind w:firstLine="709"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о соблюдении гражданами, замещавшими должности муниципальной службы в администрации Ардатовского муниципального округа Нижегородской области,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  <w:r>
        <w:rPr>
          <w:rFonts w:cs="Times New Roman"/>
          <w:sz w:val="28"/>
          <w:szCs w:val="28"/>
        </w:rPr>
        <w:t>».</w:t>
      </w:r>
    </w:p>
    <w:p>
      <w:pPr>
        <w:pStyle w:val="ConsPlusNonforma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Подпункты «к» и «н» пункта 3.1. Приложения 1 исключить.</w:t>
      </w:r>
    </w:p>
    <w:p>
      <w:pPr>
        <w:pStyle w:val="ConsPlusNonformat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Второй - четвертый абзацы подпункта «б» пункта 3.2. Приложения 1 изложить в следующей редакции:</w:t>
      </w:r>
    </w:p>
    <w:p>
      <w:pPr>
        <w:pStyle w:val="ConsPlusNonformat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>«- высшим должностным лицом Нижегородской области о проведении оперативно - розыскных мероприятий в соответствии с частью третьей статьи 8 Федерального закона </w:t>
      </w:r>
      <w:hyperlink r:id="rId3">
        <w:r>
          <w:rPr>
            <w:rStyle w:val="Style4"/>
            <w:rFonts w:ascii="Times New Roman" w:hAnsi="Times New Roman"/>
            <w:sz w:val="28"/>
          </w:rPr>
          <w:t>от 12 августа 1995 г. № 144-ФЗ</w:t>
        </w:r>
      </w:hyperlink>
      <w:r>
        <w:rPr>
          <w:rFonts w:ascii="Times New Roman" w:hAnsi="Times New Roman"/>
          <w:sz w:val="28"/>
        </w:rPr>
        <w:t> </w:t>
      </w:r>
      <w:r>
        <w:rPr>
          <w:sz w:val="28"/>
        </w:rPr>
        <w:t>«</w:t>
      </w:r>
      <w:r>
        <w:rPr>
          <w:rFonts w:ascii="Times New Roman" w:hAnsi="Times New Roman"/>
          <w:sz w:val="28"/>
        </w:rPr>
        <w:t>Об оперативно - розыскной деятельности</w:t>
      </w:r>
      <w:r>
        <w:rPr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cs="Times New Roman" w:ascii="Times New Roman" w:hAnsi="Times New Roman"/>
          <w:color w:val="auto"/>
          <w:sz w:val="28"/>
          <w:szCs w:val="28"/>
        </w:rPr>
        <w:t>в  кредитные  организации,  налоговые  органы Российской Федерации,  органы,  осуществляющие  государственную  регистрацию  прав  на недвижимое имущество и сделок с ним, Центральный каталог кредитных историй, Центральный  банк  Российской Федерации, бюро кредитных историй, операторам информационных  систем, в которых осуществляется выпуск цифровых финансовых активов,   держателям   реестра  владельцев  ценных  бумаг  и  депозитариям направляются (в том числе с использованием системы "Посейдон»;</w:t>
      </w:r>
    </w:p>
    <w:p>
      <w:pPr>
        <w:pStyle w:val="ConsPlusNonformat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руководителем органа Нижегородской области по профилактике коррупционных правонарушений, специально уполномоченным Губернатором Нижегородской области и непосредственно подчиненным Губернатору Нижегородской области, </w:t>
      </w:r>
      <w:r>
        <w:rPr>
          <w:rFonts w:cs="Times New Roman" w:ascii="Times New Roman" w:hAnsi="Times New Roman"/>
          <w:color w:val="auto"/>
          <w:sz w:val="28"/>
          <w:szCs w:val="28"/>
        </w:rPr>
        <w:t>в  кредитные  организации,  налоговые  органы Российской Федерации,  органы,  осуществляющие  государственную  регистрацию  прав  на недвижимое имущество и сделок с ним, Центральный каталог кредитных историй, Центральный  банк  Российской Федерации, бюро кредитных историй, операторам информационных  систем, в которых осуществляется выпуск цифровых финансовых активов,   держателям   реестра  владельцев  ценных  бумаг  и  депозитариям направляются (в том числе с использованием системы "Посейдон»;</w:t>
      </w:r>
    </w:p>
    <w:p>
      <w:pPr>
        <w:pStyle w:val="ConsPlusNonformat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- специально уполномоченным заместителем Губернатора Нижегородской области  в  кредитные  организации,  налоговые  органы Российской Федерации,  органы,  осуществляющие  государственную  регистрацию  прав  на недвижимое имущество и сделок с ним, Центральный каталог кредитных историй, Центральный  банк  Российской Федерации, бюро кредитных историй, операторам информационных  систем, в которых осуществляется выпуск цифровых финансовых</w:t>
      </w:r>
    </w:p>
    <w:p>
      <w:pPr>
        <w:pStyle w:val="HTMLPreformatte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активов,   держателям   реестра  владельцев  ценных  бумаг  и  депозитариям</w:t>
      </w:r>
    </w:p>
    <w:p>
      <w:pPr>
        <w:pStyle w:val="HTMLPreformatte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направляются (в том числе с использованием системы "Посейдон»;».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2.1. Официальное опубликование настоящего постановления в газете «Наша жизнь».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widowControl w:val="false"/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2.3. Размещение настоящего постановления на официальном сайте администрации Ардатовского муниципального округа в  информационно –  коммуникационной сети «Интернет» по адресу: </w:t>
      </w:r>
      <w:hyperlink r:id="rId4">
        <w:r>
          <w:rPr>
            <w:rStyle w:val="Style4"/>
            <w:color w:val="0000FF"/>
            <w:sz w:val="28"/>
            <w:u w:val="single"/>
          </w:rPr>
          <w:t>https://ardatov.nobl.ru</w:t>
        </w:r>
      </w:hyperlink>
      <w:r>
        <w:rPr>
          <w:sz w:val="28"/>
          <w:u w:val="single"/>
        </w:rPr>
        <w:t>.</w:t>
      </w:r>
    </w:p>
    <w:p>
      <w:pPr>
        <w:pStyle w:val="Normal"/>
        <w:ind w:firstLine="675"/>
        <w:jc w:val="both"/>
        <w:rPr>
          <w:sz w:val="28"/>
          <w:shd w:fill="FFFFFF" w:val="clear"/>
        </w:rPr>
      </w:pPr>
      <w:r>
        <w:rPr>
          <w:sz w:val="28"/>
        </w:rPr>
        <w:t>3. Контроль за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>
      <w:pPr>
        <w:pStyle w:val="BodyTextIndent"/>
        <w:spacing w:before="0" w:after="0"/>
        <w:ind w:left="0"/>
        <w:rPr>
          <w:sz w:val="28"/>
        </w:rPr>
      </w:pPr>
      <w:r>
        <w:rPr>
          <w:sz w:val="28"/>
        </w:rPr>
      </w:r>
    </w:p>
    <w:p>
      <w:pPr>
        <w:pStyle w:val="BodyTextIndent"/>
        <w:spacing w:before="0" w:after="0"/>
        <w:ind w:left="0"/>
        <w:rPr>
          <w:sz w:val="28"/>
        </w:rPr>
      </w:pPr>
      <w:r>
        <w:rPr>
          <w:sz w:val="28"/>
        </w:rPr>
      </w:r>
    </w:p>
    <w:p>
      <w:pPr>
        <w:pStyle w:val="BodyTextIndent"/>
        <w:spacing w:before="0" w:after="0"/>
        <w:ind w:left="0"/>
        <w:rPr>
          <w:sz w:val="28"/>
        </w:rPr>
      </w:pPr>
      <w:r>
        <w:rPr>
          <w:sz w:val="28"/>
        </w:rPr>
      </w:r>
    </w:p>
    <w:p>
      <w:pPr>
        <w:pStyle w:val="BodyTextIndent"/>
        <w:spacing w:before="0" w:after="0"/>
        <w:ind w:left="0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 xml:space="preserve">          </w:t>
        <w:tab/>
        <w:t xml:space="preserve">      С.В. Будашова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next w:val="Normal"/>
    <w:uiPriority w:val="9"/>
    <w:semiHidden/>
    <w:unhideWhenUsed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semiHidden/>
    <w:unhideWhenUsed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Style31" w:customStyle="1">
    <w:name w:val="Style3"/>
    <w:link w:val="Style311"/>
    <w:qFormat/>
    <w:rPr/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Heading31" w:customStyle="1">
    <w:name w:val="Heading 31"/>
    <w:qFormat/>
    <w:rPr>
      <w:rFonts w:ascii="Arial" w:hAnsi="Arial"/>
      <w:b/>
      <w:sz w:val="26"/>
    </w:rPr>
  </w:style>
  <w:style w:type="character" w:styleId="2" w:customStyle="1">
    <w:name w:val="Гиперссылка2"/>
    <w:link w:val="21"/>
    <w:qFormat/>
    <w:rPr>
      <w:color w:val="0000FF"/>
      <w:u w:val="single"/>
    </w:rPr>
  </w:style>
  <w:style w:type="character" w:styleId="1" w:customStyle="1">
    <w:name w:val="Обычный1"/>
    <w:link w:val="111"/>
    <w:qFormat/>
    <w:rPr>
      <w:color w:val="000000"/>
      <w:sz w:val="24"/>
    </w:rPr>
  </w:style>
  <w:style w:type="character" w:styleId="FontStyle13" w:customStyle="1">
    <w:name w:val="Font Style13"/>
    <w:link w:val="FontStyle131"/>
    <w:qFormat/>
    <w:rPr>
      <w:sz w:val="22"/>
    </w:rPr>
  </w:style>
  <w:style w:type="character" w:styleId="ConsPlusTitle" w:customStyle="1">
    <w:name w:val="ConsPlusTitle"/>
    <w:link w:val="ConsPlusTitle1"/>
    <w:qFormat/>
    <w:rPr>
      <w:rFonts w:ascii="Arial" w:hAnsi="Arial"/>
      <w:b/>
    </w:rPr>
  </w:style>
  <w:style w:type="character" w:styleId="ConsPlusNonformat" w:customStyle="1">
    <w:name w:val="ConsPlusNonformat"/>
    <w:link w:val="ConsPlusNonformat1"/>
    <w:qFormat/>
    <w:rPr>
      <w:rFonts w:ascii="Courier New" w:hAnsi="Courier New"/>
    </w:rPr>
  </w:style>
  <w:style w:type="character" w:styleId="11" w:customStyle="1">
    <w:name w:val="Гиперссылка1"/>
    <w:link w:val="112"/>
    <w:qFormat/>
    <w:rPr>
      <w:color w:val="0000FF"/>
      <w:u w:val="single"/>
    </w:rPr>
  </w:style>
  <w:style w:type="character" w:styleId="12" w:customStyle="1">
    <w:name w:val="Основной шрифт абзаца1"/>
    <w:link w:val="113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13" w:customStyle="1">
    <w:name w:val="Текст выноски1"/>
    <w:link w:val="BalloonText1"/>
    <w:qFormat/>
    <w:rPr>
      <w:rFonts w:ascii="Segoe UI" w:hAnsi="Segoe UI"/>
      <w:sz w:val="18"/>
    </w:rPr>
  </w:style>
  <w:style w:type="character" w:styleId="Heading11" w:customStyle="1">
    <w:name w:val="Heading 11"/>
    <w:qFormat/>
    <w:rPr>
      <w:rFonts w:ascii="Arial" w:hAnsi="Arial"/>
      <w:b/>
      <w:sz w:val="44"/>
    </w:rPr>
  </w:style>
  <w:style w:type="character" w:styleId="ConsPlusCell" w:customStyle="1">
    <w:name w:val="ConsPlusCell"/>
    <w:link w:val="ConsPlusCell1"/>
    <w:qFormat/>
    <w:rPr>
      <w:sz w:val="24"/>
    </w:rPr>
  </w:style>
  <w:style w:type="character" w:styleId="ConsPlusNormal" w:customStyle="1">
    <w:name w:val="ConsPlusNormal"/>
    <w:link w:val="ConsPlusNormal11"/>
    <w:qFormat/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1" w:customStyle="1">
    <w:name w:val="Header1"/>
    <w:qFormat/>
    <w:rPr>
      <w:sz w:val="20"/>
    </w:rPr>
  </w:style>
  <w:style w:type="character" w:styleId="HeaderandFooter" w:customStyle="1">
    <w:name w:val="Header and Footer"/>
    <w:link w:val="HeaderandFooter1"/>
    <w:qFormat/>
    <w:rPr>
      <w:rFonts w:ascii="XO Thames" w:hAnsi="XO Thames"/>
    </w:rPr>
  </w:style>
  <w:style w:type="character" w:styleId="Textbodyindent" w:customStyle="1">
    <w:name w:val="Text body indent"/>
    <w:qFormat/>
    <w:rPr/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sPlusNormal1" w:customStyle="1">
    <w:name w:val="ConsPlusNormal Знак"/>
    <w:link w:val="ConsPlusNormal12"/>
    <w:qFormat/>
    <w:rPr>
      <w:rFonts w:ascii="Arial" w:hAnsi="Arial"/>
      <w:sz w:val="20"/>
    </w:rPr>
  </w:style>
  <w:style w:type="character" w:styleId="Style9" w:customStyle="1">
    <w:name w:val="Знак"/>
    <w:link w:val="14"/>
    <w:qFormat/>
    <w:rPr>
      <w:rFonts w:ascii="Tahoma" w:hAnsi="Tahoma"/>
      <w:sz w:val="20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Style10" w:customStyle="1">
    <w:name w:val="Подзаголовок Знак"/>
    <w:link w:val="15"/>
    <w:qFormat/>
    <w:rPr>
      <w:rFonts w:ascii="XO Thames" w:hAnsi="XO Thames"/>
      <w:i/>
      <w:sz w:val="24"/>
    </w:rPr>
  </w:style>
  <w:style w:type="character" w:styleId="FontStyle14" w:customStyle="1">
    <w:name w:val="Font Style14"/>
    <w:link w:val="FontStyle141"/>
    <w:qFormat/>
    <w:rPr>
      <w:b/>
      <w:sz w:val="22"/>
    </w:rPr>
  </w:style>
  <w:style w:type="character" w:styleId="Textbody" w:customStyle="1">
    <w:name w:val="Text body"/>
    <w:qFormat/>
    <w:rPr/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Title1" w:customStyle="1">
    <w:name w:val="Title1"/>
    <w:qFormat/>
    <w:rPr>
      <w:b/>
      <w:sz w:val="28"/>
    </w:rPr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Heading21" w:customStyle="1">
    <w:name w:val="Heading 21"/>
    <w:qFormat/>
    <w:rPr>
      <w:b/>
      <w:sz w:val="32"/>
    </w:rPr>
  </w:style>
  <w:style w:type="character" w:styleId="Style11" w:customStyle="1">
    <w:name w:val="Текст выноски Знак"/>
    <w:basedOn w:val="DefaultParagraphFont"/>
    <w:link w:val="BalloonText"/>
    <w:qFormat/>
    <w:rPr>
      <w:rFonts w:ascii="Tahoma" w:hAnsi="Tahoma" w:cs="Mangal"/>
      <w:sz w:val="16"/>
      <w:szCs w:val="14"/>
    </w:rPr>
  </w:style>
  <w:style w:type="character" w:styleId="HTML" w:customStyle="1">
    <w:name w:val="Стандартный HTML Знак"/>
    <w:basedOn w:val="DefaultParagraphFont"/>
    <w:link w:val="HTMLPreformatted"/>
    <w:qFormat/>
    <w:rPr>
      <w:rFonts w:ascii="Courier New" w:hAnsi="Courier New" w:eastAsia="Times New Roman" w:cs="Courier New"/>
      <w:color w:val="auto"/>
      <w:lang w:eastAsia="ru-RU" w:bidi="ar-SA"/>
    </w:rPr>
  </w:style>
  <w:style w:type="paragraph" w:styleId="Style12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jc w:val="center"/>
    </w:pPr>
    <w:rPr>
      <w:b/>
      <w:sz w:val="28"/>
    </w:rPr>
  </w:style>
  <w:style w:type="paragraph" w:styleId="IndexHeading">
    <w:name w:val="index heading"/>
    <w:basedOn w:val="Normal"/>
    <w:pPr>
      <w:suppressLineNumbers/>
    </w:pPr>
    <w:rPr/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Style311" w:customStyle="1">
    <w:name w:val="Style31"/>
    <w:basedOn w:val="Normal"/>
    <w:link w:val="Style31"/>
    <w:qFormat/>
    <w:pPr>
      <w:widowControl w:val="false"/>
    </w:pPr>
    <w:rPr/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21" w:customStyle="1">
    <w:name w:val="Гиперссылка21"/>
    <w:link w:val="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111" w:customStyle="1">
    <w:name w:val="Обычный11"/>
    <w:link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FontStyle131" w:customStyle="1">
    <w:name w:val="Font Style131"/>
    <w:link w:val="FontStyle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2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ConsPlusNonformat1" w:customStyle="1">
    <w:name w:val="ConsPlusNonformat1"/>
    <w:link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Гиперссылка11"/>
    <w:link w:val="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113" w:customStyle="1">
    <w:name w:val="Основной шрифт абзаца11"/>
    <w:link w:val="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Segoe UI" w:hAnsi="Segoe UI"/>
      <w:sz w:val="18"/>
    </w:rPr>
  </w:style>
  <w:style w:type="paragraph" w:styleId="ConsPlusCell1" w:customStyle="1">
    <w:name w:val="ConsPlusCell1"/>
    <w:link w:val="ConsPlusCel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ConsPlusNormal11" w:customStyle="1">
    <w:name w:val="ConsPlusNormal1"/>
    <w:link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Style14" w:customStyle="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ConsPlusNormal12" w:customStyle="1">
    <w:name w:val="ConsPlusNormal Знак1"/>
    <w:link w:val="ConsPlusNormal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4" w:customStyle="1">
    <w:name w:val="Знак1"/>
    <w:basedOn w:val="Normal"/>
    <w:link w:val="Style9"/>
    <w:qFormat/>
    <w:pPr>
      <w:spacing w:before="280" w:after="280"/>
    </w:pPr>
    <w:rPr>
      <w:rFonts w:ascii="Tahoma" w:hAnsi="Tahoma"/>
      <w:sz w:val="20"/>
    </w:rPr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15" w:customStyle="1">
    <w:name w:val="Подзаголовок Знак1"/>
    <w:link w:val="Style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i/>
      <w:color w:val="000000"/>
      <w:kern w:val="0"/>
      <w:sz w:val="24"/>
      <w:szCs w:val="20"/>
      <w:lang w:val="ru-RU" w:eastAsia="zh-CN" w:bidi="hi-IN"/>
    </w:rPr>
  </w:style>
  <w:style w:type="paragraph" w:styleId="FontStyle141" w:customStyle="1">
    <w:name w:val="Font Style141"/>
    <w:link w:val="FontStyle1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i/>
      <w:color w:val="000000"/>
      <w:kern w:val="0"/>
      <w:sz w:val="24"/>
      <w:szCs w:val="20"/>
      <w:lang w:val="ru-RU" w:eastAsia="zh-CN" w:bidi="hi-IN"/>
    </w:rPr>
  </w:style>
  <w:style w:type="paragraph" w:styleId="BalloonText">
    <w:name w:val="Balloon Text"/>
    <w:basedOn w:val="Normal"/>
    <w:link w:val="Style11"/>
    <w:qFormat/>
    <w:pPr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link w:val="HTM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color w:val="auto"/>
      <w:sz w:val="20"/>
      <w:lang w:eastAsia="ru-RU" w:bidi="ar-SA"/>
    </w:rPr>
  </w:style>
  <w:style w:type="paragraph" w:styleId="user3" w:customStyle="1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15" w:default="1">
    <w:name w:val="Без списка"/>
    <w:uiPriority w:val="99"/>
    <w:semiHidden/>
    <w:unhideWhenUsed/>
    <w:qFormat/>
  </w:style>
  <w:style w:type="numbering" w:styleId="user4" w:customStyle="1">
    <w:name w:val="Без списка (user)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pravo.gov.ru/proxy/ips/?docbody=&amp;prevDoc=102132591&amp;backlink=1&amp;&amp;nd=102037058" TargetMode="External"/><Relationship Id="rId4" Type="http://schemas.openxmlformats.org/officeDocument/2006/relationships/hyperlink" Target="https://ardatov.nobl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LibreOffice/25.8.5.2$Windows_X86_64 LibreOffice_project/9c8b85f387cc00a89945a79c9e6239f32e450ac2</Application>
  <AppVersion>15.0000</AppVersion>
  <Pages>3</Pages>
  <Words>788</Words>
  <Characters>6077</Characters>
  <CharactersWithSpaces>6950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2026-03-02T07:48:00Z</dcterms:created>
  <dc:creator>User</dc:creator>
  <dc:description/>
  <dc:language>ru-RU</dc:language>
  <cp:lastModifiedBy/>
  <cp:lastPrinted>2026-03-12T09:49:25Z</cp:lastPrinted>
  <dcterms:modified xsi:type="dcterms:W3CDTF">2026-03-23T14:54:07Z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